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关于加强本市工程土方综合利用的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规划资源管理指导意见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为贯彻实施《上海市城市总体规划（2017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2035年）》（以下简称“上海2035”总规），加强本市工程土方综合利用规划资源领域全流程闭环管理，提升城市精细化管理水平，推进城市绿色低碳可持续发展，制定本指导意见。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贯彻落实党的二十届三中全会精神和十二届市委四次、五次全会要求，根据市委、市政府工作部署，落实新发展理念，构建新发展格局，坚持高质量发展，聚焦上海“五个中心”建设，坚持总规统领、资源统筹，充分尊重超大城市建设发展规律，充分认识工程土方（以下简称“土方”）重要资源价值，强化底线约束、安全韧性和竖向设计、空间营造，突出综合治理、源头治理、系统治理、精准治理，构建分区、分类、分级、全过程的土方综合利用规划资源管理机制，为全市土方资源空间统筹管理治理提供空间基础平台，提升土方资源综合利用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按照进一步全面深化改革和全面落实中央环保督察整改要求，坚持问题导向、目标导向、结果导向，坚持系统思维，着力构建全市土方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“一图则一规范一平台一机制”为重点的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全周期</w:t>
      </w:r>
      <w:r>
        <w:rPr>
          <w:rFonts w:hint="eastAsia" w:ascii="仿宋_GB2312" w:hAnsi="仿宋_GB2312" w:eastAsia="仿宋_GB2312" w:cs="仿宋_GB2312"/>
          <w:sz w:val="32"/>
          <w:szCs w:val="32"/>
        </w:rPr>
        <w:t>土方资源综合利用模式和实施机制。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（一）明确规划空间图则指引。</w:t>
      </w:r>
      <w:r>
        <w:rPr>
          <w:rFonts w:hint="eastAsia" w:ascii="Times New Roman" w:hAnsi="Times New Roman" w:eastAsia="仿宋_GB2312"/>
          <w:sz w:val="32"/>
          <w:szCs w:val="32"/>
        </w:rPr>
        <w:t>即一张全市土方综合利用空间总图，</w:t>
      </w:r>
      <w:r>
        <w:rPr>
          <w:rFonts w:hint="eastAsia" w:eastAsia="仿宋_GB2312"/>
          <w:sz w:val="32"/>
          <w:szCs w:val="32"/>
        </w:rPr>
        <w:t>近远结合，</w:t>
      </w:r>
      <w:r>
        <w:rPr>
          <w:rFonts w:hint="eastAsia" w:ascii="Times New Roman" w:hAnsi="Times New Roman" w:eastAsia="仿宋_GB2312"/>
          <w:sz w:val="32"/>
          <w:szCs w:val="32"/>
        </w:rPr>
        <w:t xml:space="preserve">平急两用。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1.统筹利用土方资源。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科学规划、系统谋划土方资源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利用空间格局，充分释放土方在推进项目建设、优化空间环境品质、强化城市安全韧性、改善耕地耕种条件方面的资源价值。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2.统筹规划空间布局。将土方综合利用空间纳入国土空间规划。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全面推进“上海2035”总规实施，结合各层级国土空间规划编制，强化土方综合利用空间保障。在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总体规划中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以《上海工程土方综合利用空间规划指引（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2024—</w:t>
      </w:r>
      <w:r>
        <w:rPr>
          <w:rFonts w:hint="eastAsia" w:ascii="仿宋_GB2312" w:hAnsi="仿宋_GB2312" w:eastAsia="仿宋_GB2312" w:cs="仿宋_GB2312"/>
          <w:sz w:val="32"/>
          <w:szCs w:val="32"/>
        </w:rPr>
        <w:t>2035）》(以下简称《规划指引》)为载体，统筹重点地区建设、生态空间营造、基础设施实施、高标准农田建设等各领域各方面重点建设任务，在时间上加强流转衔接，在空间上强化布局均衡，统筹谋划全市土方的产生、中转、综合利用。在新编制的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详细规划中</w:t>
      </w:r>
      <w:r>
        <w:rPr>
          <w:rFonts w:hint="eastAsia" w:ascii="仿宋_GB2312" w:hAnsi="仿宋_GB2312" w:eastAsia="仿宋_GB2312" w:cs="仿宋_GB2312"/>
          <w:sz w:val="32"/>
          <w:szCs w:val="32"/>
        </w:rPr>
        <w:t>（含城镇规划、郊野控详、详细层次专项规划），体现土方综合利用内容，统筹考虑功能布局、地形营造、地下空间和安全韧性等，明确基准地坪浮动空间区间作为地块开发控制标高的依据，强化竖向设计，衔接近、中、远规划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3.形成出土项目和综合利用潜力一张总图。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根据《上海工程土方综合利用空间规划指引（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2024—</w:t>
      </w:r>
      <w:r>
        <w:rPr>
          <w:rFonts w:hint="eastAsia" w:ascii="仿宋_GB2312" w:hAnsi="仿宋_GB2312" w:eastAsia="仿宋_GB2312" w:cs="仿宋_GB2312"/>
          <w:sz w:val="32"/>
          <w:szCs w:val="32"/>
        </w:rPr>
        <w:t>2035）》、《上海工程土方综合利用空间图则指引（近期）》，将出土项目和综合利用潜力纳入一张全市土方资源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空间总图管控，后续滚动更新，作为本市土方综合利用工作的空间底图，以及相关部门开展土方综合利用项目管理的空间依据。后续未纳入“一张图”的出土项目不作为规划综合利用空间保障范畴，未纳入“一张图”管控的地块不得擅自作为规定性土方综合利用空间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（二）制定一套政策规范。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根据土方前端、中端、后端管理特点分类施策，按规划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土方综合利用、林地建设、地形空间营造等联动机制。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4.前端：加强项目源头减量、自用挖潜、周边配用。规划统筹布局，强化竖向设计。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本市开展建设基地基准地坪浮动空间管理，《规划指引》划示的新城及外环生态绿环、沿江沿海凸型海岸生态空间集聚带、近期岸带综合利用潜力空间、重点地区中成片可开发面积超过1km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的区域，基准地坪浮动空间可参考200年一遇防洪设防堤顶高度标准（高程约8米）研究确定；其他地区可基于现状基准地坪，结合实际情况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通过规划方案研究适当提升。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详细规划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应落实《规划指引》要求，结合区域的基础高程，开展竖向设计和土方平衡，明确土方综合利用要求。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在城镇控详中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，充分利用城市地形塑造形成基准地坪浮动空间，与土地储备、项目建设过程中的产生的冗余空间、过渡空间有机联动；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在郊野控详中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，实现土方综合利用和生态造林、地形塑造等的有机联动。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加强建设项目各环节管理，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在工程立项、土地供应、制定设计方案、核发规划许可，以及施工许可、竣工验收阶段，明确土方综合利用处置要求，项目建设回土率原则上不低于15%。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工程立项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应考虑土方综合利用相关资金测算；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土地供应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应将详细规划明确的土方综合利用要求纳入土地出让条件，如详细规划层次未确定，应在供地前结合场地条件，经区域评估或土地出让前规划实施评估等方式，明确土方综合利用要求；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设计方案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应考虑竖向设计相关内容，因综合利用土方导致的地形地势变化，在计算项目容积率时可予以适当支持考虑；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施工阶段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应做好土方综合利用相关施工组织工作；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竣工验收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应结合土方综合利用要求，对项目的竖向建成情况进行闭环管理、从严管控。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5.中端：强化综合利用、多式联用、就近消用。布局土方暂存中转空间，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全市各区应充分利用生态造林空间，以及城镇存量建设用地资源，综合考虑建设开发时序和周边现状条件，在做好安全评估的前提下，设置不少于一处土方暂存中转空间，减少本区土方外运规模；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加强表土剥离和再利用，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按照“应剥尽剥、安全利用”的原则，经检测合格后的表土可用于整理复垦新增耕地、地势低洼耕地整治或耕地提质改造等项目。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6.后端：强化统筹管理、多元处置、一地多能。集中成片建设地区，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按照规划要求，结合建设项目开展基准地坪浮动综合利用；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滨海空间，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结合本市沿江、沿海滩涂等保滩固滩工作，细化明确在本市江海岸带区域土方利用的标准、方式、容量及保障措施。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城镇空间，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结合存量建设用地资源盘活工作，结合详细层面规划实施，按照“源头检测、过程管控、末端复测”的管理要求，探索在存量建设用地上暂存土方的利用模式。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郊野空间，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低效建设用地减量化、林地建设、河道工程等各类工程内容的布局和土方需求，在规划设计阶段制定土方综合利用方案，通过开展林地建设、海绵地形营造等方式释放土方综合利用空间，增加郊野地形的景观层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7.规范土方综合利用管理要求。工程安全方面，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摸清土方综合利用场所及周边地上和地下环境，结合地质条件，开展安全评估，设计合理堆置面积和高度，必要时采取安全措施，防止发生安全事故。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用途管制方面，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对于通过实施造林、中小河道整治等综合利用土方的，需按规定办理用途管</w:t>
      </w:r>
      <w:r>
        <w:rPr>
          <w:rFonts w:hint="eastAsia" w:ascii="Times New Roman" w:hAnsi="Times New Roman" w:eastAsia="仿宋_GB2312"/>
          <w:sz w:val="32"/>
          <w:szCs w:val="32"/>
        </w:rPr>
        <w:t>制手续。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土壤质量管理方面，</w:t>
      </w:r>
      <w:r>
        <w:rPr>
          <w:rFonts w:hint="eastAsia" w:ascii="Times New Roman" w:hAnsi="Times New Roman" w:eastAsia="仿宋_GB2312"/>
          <w:sz w:val="32"/>
          <w:szCs w:val="32"/>
        </w:rPr>
        <w:t>强化土方分类治理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土方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从出土地</w:t>
      </w:r>
      <w:r>
        <w:rPr>
          <w:rFonts w:hint="eastAsia" w:ascii="Times New Roman" w:hAnsi="Times New Roman" w:eastAsia="仿宋_GB2312"/>
          <w:sz w:val="32"/>
          <w:szCs w:val="32"/>
        </w:rPr>
        <w:t>离场前需做好土壤检测，根据检测结果依规处理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，其中符合环保要求的土方方可进入综合利用</w:t>
      </w:r>
      <w:r>
        <w:rPr>
          <w:rFonts w:hint="eastAsia" w:ascii="Times New Roman" w:hAnsi="Times New Roman" w:eastAsia="仿宋_GB2312"/>
          <w:sz w:val="32"/>
          <w:szCs w:val="32"/>
        </w:rPr>
        <w:t>场所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综合利用场所启用前应按规定配置必要的环保等管理措施。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耕地保护方面，</w:t>
      </w:r>
      <w:r>
        <w:rPr>
          <w:rFonts w:hint="eastAsia" w:ascii="Times New Roman" w:hAnsi="Times New Roman" w:eastAsia="仿宋_GB2312"/>
          <w:sz w:val="32"/>
          <w:szCs w:val="32"/>
        </w:rPr>
        <w:t>除主动需求优质表土外，土方不得占用本市永久基本农田和耕地保护空间。占用耕地应急、临时堆放土方的，必须符合土地管理相关规定。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权利人保障方面，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采用存量或闲置土地应急临时利用的，需征得土地权利人同意，并约定退场、管理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安全等相关事项。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（三）建设土方智能匹配平台。</w:t>
      </w:r>
      <w:r>
        <w:rPr>
          <w:rFonts w:hint="eastAsia" w:ascii="Times New Roman" w:hAnsi="Times New Roman" w:eastAsia="仿宋_GB2312"/>
          <w:sz w:val="32"/>
          <w:szCs w:val="32"/>
        </w:rPr>
        <w:t>建设全市土方资源三维空间智能匹配、交易对接和监控垂类模型应用系统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8.形成土方智能利用匹配系统。</w:t>
      </w:r>
      <w:r>
        <w:rPr>
          <w:rFonts w:hint="eastAsia" w:ascii="Times New Roman" w:hAnsi="Times New Roman" w:eastAsia="仿宋_GB2312"/>
          <w:sz w:val="32"/>
          <w:szCs w:val="32"/>
        </w:rPr>
        <w:t>根据项目出土外运需求，综合考虑卸点库容、运距、土质、经济成本等因素，结合建设项目全流程环节的土方消长与转运的供需变化，探索研究“土方票”等匹配手段，完善出土点、存放点、综合利用点匹配机制，设计多种综合利用空间方案，赋能土方综合利用空间智能匹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9.推进土方综合利用量子城市应用场景建设。</w:t>
      </w:r>
      <w:r>
        <w:rPr>
          <w:rFonts w:hint="eastAsia" w:ascii="Times New Roman" w:hAnsi="Times New Roman" w:eastAsia="仿宋_GB2312"/>
          <w:sz w:val="32"/>
          <w:szCs w:val="32"/>
        </w:rPr>
        <w:t>依托量子城市云宇星空大模型，统一时空底座，加强各部门数据信息共享，建设土方综合利用数字城市应用场景。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（四）建立市区协同工作机制。</w:t>
      </w:r>
      <w:r>
        <w:rPr>
          <w:rFonts w:hint="eastAsia" w:ascii="Times New Roman" w:hAnsi="Times New Roman" w:eastAsia="仿宋_GB2312"/>
          <w:sz w:val="32"/>
          <w:szCs w:val="32"/>
        </w:rPr>
        <w:t>形成市区两级土方综合利用空间管理的工作合力。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10.市级层面：建立市级土方综合利用空间管理机构。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土地储备新机制构建“标地营造”制度，充分用好土方资源，做好储备土地出让前基本地坪和地形塑造工作，建设适应土地市场需求的“标地”。在市土地储备中心下设专门土方综合利用空间管理机构，承接市级土方综合利用规划资源管理工作。遴选市属国企推进实施“标地”建设，实现储备土地保值增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11.区级层面：建立区级土方综合利用空间专项协调联系机制。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（管委会）作为区级土方综合利用的责任主体，区规划资源、绿化市容等部门共同组建区级土方综合利用工作专班，加强区内出土项目和规划综合利用空间的统筹，研究协调区内土方综合利用工作涉及的重大事项。在区土地储备中心下设专门土方综合利用空间管理职能机构，承接区级土方综合利用空间规划资源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（五）加强机制保障。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市规划资源局编制《上海工程土方综合利用空间规划指引（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2024—</w:t>
      </w:r>
      <w:r>
        <w:rPr>
          <w:rFonts w:hint="eastAsia" w:ascii="仿宋_GB2312" w:hAnsi="仿宋_GB2312" w:eastAsia="仿宋_GB2312" w:cs="仿宋_GB2312"/>
          <w:sz w:val="32"/>
          <w:szCs w:val="32"/>
        </w:rPr>
        <w:t>2035）》、《上海工程土方综合利用空间图则指引（近期）》。年初根据市、区重大建设项目计划，市绿化市容局会同市重大办、市规划资源局细化土方综合利用总量和综合利用时序，确定市级土方综合利用三年滚动方案和当年度土方综合利用方案；区绿化市容部门会同区重大办、区规划资源部门细化土方综合利用总量和综合利用时序，确定区级土方综合利用三年滚动方案和当年度土方综合利用方案。相关</w:t>
      </w:r>
      <w:r>
        <w:rPr>
          <w:rFonts w:hint="eastAsia" w:ascii="Times New Roman" w:hAnsi="Times New Roman" w:eastAsia="仿宋_GB2312"/>
          <w:sz w:val="32"/>
          <w:szCs w:val="32"/>
        </w:rPr>
        <w:t>部门加强监督执法和宣传引导，对梳理排查的土方违规占耕问题，坚决查处整治；积极宣传土方资源价值属性，推广土方综合利用正面案例。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各区政府（管委会）加强区内综合利用空间的安全管理，强化码头、道路等基础设施保障。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3" w:firstLineChars="200"/>
        <w:jc w:val="both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（六）本指导意见自印发之日起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施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行。</w:t>
      </w:r>
      <w:r>
        <w:rPr>
          <w:rFonts w:hint="eastAsia" w:ascii="Times New Roman" w:hAnsi="Times New Roman" w:eastAsia="仿宋_GB2312"/>
          <w:sz w:val="32"/>
          <w:szCs w:val="32"/>
        </w:rPr>
        <w:t>本指导意见实施过程中涉及的具体实施内容等，由市规划资源局负责解释。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jc w:val="both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3</w:t>
    </w:r>
    <w:r>
      <w:rPr>
        <w:rFonts w:hint="default"/>
        <w:sz w:val="18"/>
        <w:szCs w:val="18"/>
        <w:lang w:val="zh-CN"/>
      </w:rPr>
      <w:fldChar w:fldCharType="end"/>
    </w:r>
  </w:p>
  <w:p>
    <w:pPr>
      <w:pStyle w:val="2"/>
      <w:rPr>
        <w:rFonts w:hint="default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lkZTcwNDI3ZmNmMjlmOTY4MGEzNDA0OGNjZWEifQ=="/>
  </w:docVars>
  <w:rsids>
    <w:rsidRoot w:val="00172A27"/>
    <w:rsid w:val="02395413"/>
    <w:rsid w:val="025B3B50"/>
    <w:rsid w:val="1E061BD3"/>
    <w:rsid w:val="22396826"/>
    <w:rsid w:val="52904DE5"/>
    <w:rsid w:val="5FFF4089"/>
    <w:rsid w:val="B73DABAE"/>
    <w:rsid w:val="B9D78947"/>
    <w:rsid w:val="FF9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3656</Words>
  <Characters>3713</Characters>
  <Lines>0</Lines>
  <Paragraphs>0</Paragraphs>
  <TotalTime>4</TotalTime>
  <ScaleCrop>false</ScaleCrop>
  <LinksUpToDate>false</LinksUpToDate>
  <CharactersWithSpaces>3714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2024-12-20T16:27:00Z</dcterms:created>
  <dc:creator>解远志</dc:creator>
  <cp:lastModifiedBy>陈德文:核稿</cp:lastModifiedBy>
  <cp:lastPrinted>2024-12-21T10:36:00Z</cp:lastPrinted>
  <dcterms:modified xsi:type="dcterms:W3CDTF">2024-12-23T11:17:10Z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E2B19C8945794FD9B012339BF050DFB1_13</vt:lpwstr>
  </property>
</Properties>
</file>